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hint="default" w:eastAsia="黑体"/>
          <w:b/>
          <w:bCs/>
          <w:sz w:val="36"/>
          <w:szCs w:val="36"/>
          <w:lang w:val="en-US" w:eastAsia="zh-CN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1-1</w:t>
      </w:r>
    </w:p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2024</w:t>
      </w:r>
      <w:r>
        <w:rPr>
          <w:rFonts w:hint="eastAsia"/>
          <w:b/>
          <w:bCs/>
          <w:sz w:val="36"/>
          <w:szCs w:val="36"/>
        </w:rPr>
        <w:t>年研究生优秀课程项目申报指南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1.人工智能类研究生</w:t>
      </w:r>
      <w:bookmarkStart w:id="0" w:name="_GoBack"/>
      <w:bookmarkEnd w:id="0"/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课程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2.新材料类研究生课程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3.生命健康类研究生课程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4.人文素养类研究生课程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5.集成电路设计类研究生课程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6.专业学位职业技能类研究生课程</w:t>
      </w:r>
    </w:p>
    <w:p>
      <w:pPr>
        <w:numPr>
          <w:ilvl w:val="0"/>
          <w:numId w:val="0"/>
        </w:numPr>
        <w:spacing w:line="360" w:lineRule="auto"/>
        <w:ind w:firstLine="640" w:firstLineChars="200"/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7.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数字经济类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研究生课程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.研究生实验实践类课程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9.国际研究生英文授课课程</w:t>
      </w:r>
    </w:p>
    <w:p>
      <w:pPr>
        <w:spacing w:line="360" w:lineRule="auto"/>
        <w:ind w:firstLine="640" w:firstLineChars="200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10.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非全日制研究生课程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11.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研究生研究方法类课程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12.交叉学科研究生课程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13.科学前沿类研究生课程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……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65C60B87"/>
    <w:rsid w:val="3CC42178"/>
    <w:rsid w:val="65C60B87"/>
    <w:rsid w:val="73AF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qFormat/>
    <w:uiPriority w:val="0"/>
    <w:pPr>
      <w:spacing w:before="0" w:after="140" w:line="276" w:lineRule="auto"/>
    </w:p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2024-03-13T08:05:00Z</dcterms:created>
  <dc:creator>little monk</dc:creator>
  <cp:lastModifiedBy>little monk</cp:lastModifiedBy>
  <dcterms:modified xsi:type="dcterms:W3CDTF">2024-03-14T01:35:24Z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5685EF8C1D13469FBEC395AF70882E24_11</vt:lpwstr>
  </property>
</Properties>
</file>